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Calibri" w:cs="Calibri" w:eastAsia="Calibri" w:hAnsi="Calibri"/>
          <w:b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Year 2 Texts and Outcomes</w:t>
      </w:r>
    </w:p>
    <w:tbl>
      <w:tblPr>
        <w:tblStyle w:val="Table1"/>
        <w:tblW w:w="10800.0" w:type="dxa"/>
        <w:jc w:val="center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360"/>
        <w:gridCol w:w="1740"/>
        <w:gridCol w:w="1740"/>
        <w:gridCol w:w="1740"/>
        <w:gridCol w:w="1740"/>
        <w:gridCol w:w="1740"/>
        <w:gridCol w:w="1740"/>
        <w:tblGridChange w:id="0">
          <w:tblGrid>
            <w:gridCol w:w="360"/>
            <w:gridCol w:w="1740"/>
            <w:gridCol w:w="1740"/>
            <w:gridCol w:w="1740"/>
            <w:gridCol w:w="1740"/>
            <w:gridCol w:w="1740"/>
            <w:gridCol w:w="1740"/>
          </w:tblGrid>
        </w:tblGridChange>
      </w:tblGrid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6699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Autumn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Autumn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Spring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Spring 2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Summer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66ff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Summer 2</w:t>
            </w:r>
          </w:p>
        </w:tc>
      </w:tr>
      <w:tr>
        <w:trPr>
          <w:cantSplit w:val="0"/>
          <w:trHeight w:val="87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Set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Troll Swap by Leigh Hodgkinson, Trolls Go Home by Alan MacDonald</w:t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The Owl Who Was Afraid of The Dark by Jill Tomlinson </w:t>
            </w:r>
            <w:r w:rsidDel="00000000" w:rsidR="00000000" w:rsidRPr="00000000">
              <w:rPr>
                <w:rFonts w:ascii="Calibri" w:cs="Calibri" w:eastAsia="Calibri" w:hAnsi="Calibri"/>
                <w:color w:val="0070c0"/>
                <w:rtl w:val="0"/>
              </w:rPr>
              <w:t xml:space="preserve">(picture book and chapter book)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The Dragon Machine by Helen Ward, How to Train Your Dragon (2010 film), The Dragonsitter Disasters by Josh Lacey</w:t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Major Glad, Major Dizzy by Jan Oke, Naughty Amelia Jane by Enid Blyton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The Last Wolf by Mini Grey 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70c0"/>
                <w:rtl w:val="0"/>
              </w:rPr>
              <w:t xml:space="preserve">Grandad’s Secret Giant by David Litchfield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Fiction: write a story with focus on characters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Greater Depth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Story about two invented contrasting characters who swap places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color w:val="002060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Non-chronological report: write a fact sheet about owls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Greater Depth</w:t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Alter the layout to include own subheadings and extra features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Fiction: write an adventure story with change of character and machine 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Greater Depth</w:t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Story written in first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Outcome 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Recount: write a diary entry of historical events from Major Glad’s point of view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Greater Depth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Diary entry to include the feelings of Major Dizzy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Letter: write a letter in role as the character persuading to save the trees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Greater Depth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Real life letter to specific audience e.g. local MP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Outcome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Fiction: write a story with a moral focus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Greater Depth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Story from the point of view of the giant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7"/>
            <w:shd w:fill="ffffff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259" w:lineRule="auto"/>
        <w:rPr>
          <w:rFonts w:ascii="Calibri" w:cs="Calibri" w:eastAsia="Calibri" w:hAnsi="Calibri"/>
          <w:b w:val="1"/>
          <w:color w:val="00206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24"/>
          <w:szCs w:val="24"/>
          <w:rtl w:val="0"/>
        </w:rPr>
        <w:t xml:space="preserve">Year 2 Mastery Keys</w:t>
      </w:r>
    </w:p>
    <w:tbl>
      <w:tblPr>
        <w:tblStyle w:val="Table2"/>
        <w:tblW w:w="10760.0" w:type="dxa"/>
        <w:jc w:val="center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440"/>
        <w:gridCol w:w="1720"/>
        <w:gridCol w:w="1720"/>
        <w:gridCol w:w="1720"/>
        <w:gridCol w:w="1720"/>
        <w:gridCol w:w="1720"/>
        <w:gridCol w:w="1720"/>
        <w:tblGridChange w:id="0">
          <w:tblGrid>
            <w:gridCol w:w="440"/>
            <w:gridCol w:w="1720"/>
            <w:gridCol w:w="1720"/>
            <w:gridCol w:w="1720"/>
            <w:gridCol w:w="1720"/>
            <w:gridCol w:w="1720"/>
            <w:gridCol w:w="172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b w:val="1"/>
                <w:color w:val="00206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rtl w:val="0"/>
              </w:rPr>
              <w:t xml:space="preserve">Year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6699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Autumn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Autumn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Spring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Spring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Summer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66ff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Summer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Word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Word</w:t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Add -ly to turn adjectives into adverbs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Word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Word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Word</w:t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Add -er and -est to adjectives</w:t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Use homophones and near homophones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Word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Add suffixes to spell longer words (e.g -ment,- ful)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Word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Throughout each unit of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2060"/>
                <w:sz w:val="20"/>
                <w:szCs w:val="20"/>
                <w:rtl w:val="0"/>
              </w:rPr>
              <w:t xml:space="preserve">Pathways to Write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 there will be opportunities to apply word skills: 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Spell many words correctly by segmenting spoken words into phonemes and representing these by graphemes and spell common exception words.</w:t>
            </w:r>
          </w:p>
        </w:tc>
      </w:tr>
      <w:tr>
        <w:trPr>
          <w:cantSplit w:val="0"/>
          <w:trHeight w:val="85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Sentence</w:t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Use subordination (because) and co-ordination (and)</w:t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Use expanded noun phrases to describe and specify</w:t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Sentence</w:t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Use co-ordination (but, or)</w:t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Sentence</w:t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Write sentences with different forms: statement, question, exclamation, command</w:t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Use subordination (apply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2060"/>
                <w:sz w:val="20"/>
                <w:szCs w:val="20"/>
                <w:rtl w:val="0"/>
              </w:rPr>
              <w:t xml:space="preserve">because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, introduce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2060"/>
                <w:sz w:val="20"/>
                <w:szCs w:val="20"/>
                <w:rtl w:val="0"/>
              </w:rPr>
              <w:t xml:space="preserve">when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Sentence</w:t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Use subordination (apply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2060"/>
                <w:sz w:val="20"/>
                <w:szCs w:val="20"/>
                <w:rtl w:val="0"/>
              </w:rPr>
              <w:t xml:space="preserve">because, when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; introduce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2060"/>
                <w:sz w:val="20"/>
                <w:szCs w:val="20"/>
                <w:rtl w:val="0"/>
              </w:rPr>
              <w:t xml:space="preserve">that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Sentence</w:t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Use subordination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2060"/>
                <w:sz w:val="20"/>
                <w:szCs w:val="20"/>
                <w:rtl w:val="0"/>
              </w:rPr>
              <w:t xml:space="preserve">if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2060"/>
                <w:sz w:val="20"/>
                <w:szCs w:val="20"/>
                <w:rtl w:val="0"/>
              </w:rPr>
              <w:t xml:space="preserve">that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Sentence</w:t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Use subordination (when, if, that, because) and co-ordination (or, and, but)</w:t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Use expanded noun phrases to describe and specify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Text </w:t>
            </w:r>
          </w:p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Text </w:t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Use present and past tenses correctly and consistently (some progressive)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Text</w:t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Use present and past tenses correctly and consistently </w:t>
            </w:r>
          </w:p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Use the progressive form of verbs in the present and past tense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Text </w:t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Text </w:t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Use present and past tenses correctly and consistently including the progressive form</w:t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Punctuation</w:t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Use punctuation correctly 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full stops, capital letters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Punctuation</w:t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Use commas to separate items in a list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Punctuation</w:t>
            </w:r>
          </w:p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Use punctuation correctly - exclamation marks, question marks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Punctuation</w:t>
            </w:r>
          </w:p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Use punctuation correctly – introduce apostrophe for the possessive (singular)</w:t>
            </w:r>
          </w:p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Punctuation</w:t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2060"/>
                <w:sz w:val="20"/>
                <w:szCs w:val="20"/>
                <w:rtl w:val="0"/>
              </w:rPr>
              <w:t xml:space="preserve">Use punctuation correctly – apostrophes for contracted forms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2060"/>
                <w:sz w:val="20"/>
                <w:szCs w:val="20"/>
                <w:rtl w:val="0"/>
              </w:rPr>
              <w:t xml:space="preserve">Punctuation</w:t>
            </w:r>
          </w:p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